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4498" w14:textId="3F6CC1BB" w:rsidR="00AE27BD" w:rsidRDefault="00542341">
      <w:pPr>
        <w:jc w:val="right"/>
        <w:rPr>
          <w:rFonts w:hint="eastAsia"/>
        </w:rPr>
      </w:pPr>
      <w:r>
        <w:t>14</w:t>
      </w:r>
      <w:r w:rsidR="00E87C96">
        <w:t>.03.2022</w:t>
      </w:r>
    </w:p>
    <w:p w14:paraId="5B5C4EC3" w14:textId="77777777" w:rsidR="00AE27BD" w:rsidRDefault="00AE27BD">
      <w:pPr>
        <w:rPr>
          <w:rFonts w:hint="eastAsia"/>
        </w:rPr>
      </w:pPr>
    </w:p>
    <w:p w14:paraId="7F467CFB" w14:textId="77777777" w:rsidR="00AE27BD" w:rsidRDefault="00E87C96">
      <w:pPr>
        <w:jc w:val="center"/>
        <w:rPr>
          <w:rFonts w:hint="eastAsia"/>
          <w:b/>
          <w:bCs/>
        </w:rPr>
      </w:pPr>
      <w:r>
        <w:rPr>
          <w:b/>
          <w:bCs/>
        </w:rPr>
        <w:t>JUHEND</w:t>
      </w:r>
    </w:p>
    <w:p w14:paraId="619B79B6" w14:textId="77777777" w:rsidR="00320E2C" w:rsidRDefault="00E87C96">
      <w:pPr>
        <w:jc w:val="center"/>
        <w:rPr>
          <w:rFonts w:hint="eastAsia"/>
        </w:rPr>
      </w:pPr>
      <w:r>
        <w:t>väärteomenetluses otsuse vaidlustamiseks</w:t>
      </w:r>
    </w:p>
    <w:p w14:paraId="4E35A9D6" w14:textId="3B345486" w:rsidR="00AE27BD" w:rsidRDefault="00E87C96">
      <w:pPr>
        <w:jc w:val="center"/>
        <w:rPr>
          <w:rFonts w:hint="eastAsia"/>
        </w:rPr>
      </w:pPr>
      <w:r>
        <w:t xml:space="preserve">(maskikandmise kohustuse </w:t>
      </w:r>
      <w:r w:rsidR="00542341">
        <w:t>väidetava</w:t>
      </w:r>
      <w:r w:rsidR="00320E2C">
        <w:t xml:space="preserve"> </w:t>
      </w:r>
      <w:r>
        <w:t>rikkumise</w:t>
      </w:r>
      <w:r w:rsidR="00320E2C">
        <w:t xml:space="preserve"> korral</w:t>
      </w:r>
      <w:r>
        <w:t>)</w:t>
      </w:r>
    </w:p>
    <w:p w14:paraId="7BC14BEF" w14:textId="77777777" w:rsidR="00AE27BD" w:rsidRDefault="00AE27BD">
      <w:pPr>
        <w:rPr>
          <w:rFonts w:hint="eastAsia"/>
        </w:rPr>
      </w:pPr>
    </w:p>
    <w:p w14:paraId="418AFDD2" w14:textId="47A970D7" w:rsidR="00AE27BD" w:rsidRDefault="00E87C96">
      <w:pPr>
        <w:rPr>
          <w:rFonts w:hint="eastAsia"/>
        </w:rPr>
      </w:pPr>
      <w:r>
        <w:t xml:space="preserve">Väärteomenetluse käigus koostatakse esmalt protokoll ja seejärel otsus. Käesolev juhend on koostatud, et </w:t>
      </w:r>
      <w:r w:rsidR="00320E2C">
        <w:t>anda juhised protokollile</w:t>
      </w:r>
      <w:r>
        <w:t xml:space="preserve"> vastulause esitamis</w:t>
      </w:r>
      <w:r w:rsidR="00320E2C">
        <w:t xml:space="preserve">eks </w:t>
      </w:r>
      <w:r>
        <w:t xml:space="preserve">ja seejärel väärteoasjas kohtuvälise menetleja otsuse vaidlustamist maakohtus. </w:t>
      </w:r>
    </w:p>
    <w:p w14:paraId="0C382DA5" w14:textId="77777777" w:rsidR="00AE27BD" w:rsidRDefault="00AE27BD">
      <w:pPr>
        <w:rPr>
          <w:rFonts w:hint="eastAsia"/>
        </w:rPr>
      </w:pPr>
    </w:p>
    <w:p w14:paraId="21137A9B" w14:textId="7301BA7A" w:rsidR="00320E2C" w:rsidRDefault="00E87C96">
      <w:pPr>
        <w:rPr>
          <w:rFonts w:hint="eastAsia"/>
          <w:b/>
          <w:bCs/>
        </w:rPr>
      </w:pPr>
      <w:r>
        <w:rPr>
          <w:b/>
          <w:bCs/>
        </w:rPr>
        <w:t>Oluline on märkida, et kuna iga juhtum on erinev, siis tuleks käesolevat juhendmaterjali ja lisatud näidisdokumente ka vastavalt käsitleda – muutes, mida vaja muuta</w:t>
      </w:r>
      <w:r w:rsidR="00320E2C">
        <w:rPr>
          <w:b/>
          <w:bCs/>
        </w:rPr>
        <w:t xml:space="preserve"> ja kuidas vaja. Näidisdokumendid on mõeldud vabaks kasutamiseks ja neid võib vabalt kasutada vastavalt vajadusele.</w:t>
      </w:r>
      <w:r w:rsidR="001C150C">
        <w:rPr>
          <w:b/>
          <w:bCs/>
        </w:rPr>
        <w:t xml:space="preserve"> Dokumentide esitamisel tuleb loomulikult kustutada nende päisest märge, et tegu on </w:t>
      </w:r>
      <w:proofErr w:type="spellStart"/>
      <w:r w:rsidR="001C150C">
        <w:rPr>
          <w:b/>
          <w:bCs/>
        </w:rPr>
        <w:t>näidisdokumenidiga</w:t>
      </w:r>
      <w:proofErr w:type="spellEnd"/>
      <w:r w:rsidR="001C150C">
        <w:rPr>
          <w:b/>
          <w:bCs/>
        </w:rPr>
        <w:t>.</w:t>
      </w:r>
    </w:p>
    <w:p w14:paraId="2ABEE277" w14:textId="77777777" w:rsidR="00AE27BD" w:rsidRDefault="00AE27BD">
      <w:pPr>
        <w:rPr>
          <w:rFonts w:hint="eastAsia"/>
        </w:rPr>
      </w:pPr>
      <w:bookmarkStart w:id="0" w:name="_GoBack"/>
      <w:bookmarkEnd w:id="0"/>
    </w:p>
    <w:p w14:paraId="7802C6BE" w14:textId="0626F449" w:rsidR="00AE27BD" w:rsidRDefault="00E87C96">
      <w:pPr>
        <w:rPr>
          <w:rFonts w:hint="eastAsia"/>
        </w:rPr>
      </w:pPr>
      <w:r>
        <w:t xml:space="preserve">Väärteomenetlust reguleerib väärteomenetluse seadustik, mis on kättesaadav </w:t>
      </w:r>
      <w:r w:rsidR="00320E2C">
        <w:t xml:space="preserve">aadressil </w:t>
      </w:r>
      <w:hyperlink r:id="rId7" w:history="1">
        <w:r w:rsidR="00320E2C" w:rsidRPr="00EA1885">
          <w:rPr>
            <w:rStyle w:val="Hyperlink"/>
          </w:rPr>
          <w:t>https://www.riigiteataja.ee/akt/122122021006</w:t>
        </w:r>
      </w:hyperlink>
      <w:r>
        <w:t>.</w:t>
      </w:r>
    </w:p>
    <w:p w14:paraId="1D8F6D39" w14:textId="77777777" w:rsidR="00AE27BD" w:rsidRDefault="00AE27BD">
      <w:pPr>
        <w:rPr>
          <w:rFonts w:hint="eastAsia"/>
        </w:rPr>
      </w:pPr>
    </w:p>
    <w:p w14:paraId="225DE379" w14:textId="487E625E" w:rsidR="00AE27BD" w:rsidRPr="00320E2C" w:rsidRDefault="00E87C96">
      <w:pPr>
        <w:rPr>
          <w:rFonts w:hint="eastAsia"/>
          <w:b/>
        </w:rPr>
      </w:pPr>
      <w:r w:rsidRPr="00320E2C">
        <w:rPr>
          <w:b/>
        </w:rPr>
        <w:t>I Protokollile vastulause esitamine</w:t>
      </w:r>
    </w:p>
    <w:p w14:paraId="33908F15" w14:textId="77777777" w:rsidR="00320E2C" w:rsidRDefault="00320E2C">
      <w:pPr>
        <w:rPr>
          <w:rFonts w:hint="eastAsia"/>
        </w:rPr>
      </w:pPr>
    </w:p>
    <w:p w14:paraId="06EC628A" w14:textId="77777777" w:rsidR="00AE27BD" w:rsidRDefault="00E87C96">
      <w:pPr>
        <w:numPr>
          <w:ilvl w:val="0"/>
          <w:numId w:val="1"/>
        </w:numPr>
        <w:rPr>
          <w:rFonts w:hint="eastAsia"/>
        </w:rPr>
      </w:pPr>
      <w:r>
        <w:rPr>
          <w:u w:val="single"/>
        </w:rPr>
        <w:t>Oluline on kinni pidada tähtaegadest.</w:t>
      </w:r>
      <w:r>
        <w:t xml:space="preserve"> Protokolli saamisel on märgitud enamasti ka vastulause esitamise tähtpäev, mis on 15 päeva protokolli kättesaamisest. </w:t>
      </w:r>
    </w:p>
    <w:p w14:paraId="358D09D9" w14:textId="383F82AF" w:rsidR="00AE27BD" w:rsidRDefault="00E87C96">
      <w:pPr>
        <w:numPr>
          <w:ilvl w:val="0"/>
          <w:numId w:val="1"/>
        </w:numPr>
        <w:rPr>
          <w:rFonts w:hint="eastAsia"/>
        </w:rPr>
      </w:pPr>
      <w:r>
        <w:t>Eelnimetatud 15 päeva jooksul on võimalik paluda (</w:t>
      </w:r>
      <w:proofErr w:type="spellStart"/>
      <w:r>
        <w:t>e-kirjaga</w:t>
      </w:r>
      <w:proofErr w:type="spellEnd"/>
      <w:r>
        <w:t xml:space="preserve">) kohtuvälisel </w:t>
      </w:r>
      <w:proofErr w:type="spellStart"/>
      <w:r>
        <w:t>menetlejal</w:t>
      </w:r>
      <w:proofErr w:type="spellEnd"/>
      <w:r>
        <w:t xml:space="preserve"> väljastada teile digitaalselt toimiku materjalid – sealt on näha, millistele tõenditele tuginedes kohtuväline menetleja oma otsust teeb (NB! videoid ei väljastata, nendega on võimalik tutvuda kohapeal menetleja juures, </w:t>
      </w:r>
      <w:r w:rsidR="00320E2C">
        <w:t>leppides eelnevalt selleks sobiliku aja kokku</w:t>
      </w:r>
      <w:r>
        <w:t>).</w:t>
      </w:r>
    </w:p>
    <w:p w14:paraId="7EBF88C5" w14:textId="6F6FD8C7" w:rsidR="00AE27BD" w:rsidRDefault="00E87C96">
      <w:pPr>
        <w:numPr>
          <w:ilvl w:val="0"/>
          <w:numId w:val="1"/>
        </w:numPr>
        <w:rPr>
          <w:rFonts w:hint="eastAsia"/>
        </w:rPr>
      </w:pPr>
      <w:r>
        <w:t>Vastulause näidis on lisatud</w:t>
      </w:r>
      <w:r w:rsidR="00320E2C">
        <w:t xml:space="preserve"> käesolevale</w:t>
      </w:r>
      <w:r>
        <w:t xml:space="preserve"> juhendile. Esmalt tuleb üle kontrollida ja täiendada kollaselt märgitud väljad. Vastava sisendi saab kohtuvälise menetleja protokollist.</w:t>
      </w:r>
    </w:p>
    <w:p w14:paraId="14EEDD96" w14:textId="77777777" w:rsidR="00AE27BD" w:rsidRDefault="00E87C96">
      <w:pPr>
        <w:numPr>
          <w:ilvl w:val="0"/>
          <w:numId w:val="1"/>
        </w:numPr>
        <w:rPr>
          <w:rFonts w:hint="eastAsia"/>
        </w:rPr>
      </w:pPr>
      <w:r>
        <w:t>Kohtuväline menetleja maskikohustusega seotud rikkumiste puhul on kas Terviseamet või Politsei- ja Piirivalveamet. Vastavalt sellele tuleb ka lisada vastulausele kohtuvälise menetleja andmed.</w:t>
      </w:r>
    </w:p>
    <w:p w14:paraId="2AB78C40" w14:textId="1D7C4084" w:rsidR="00AE27BD" w:rsidRDefault="00E87C96">
      <w:pPr>
        <w:numPr>
          <w:ilvl w:val="0"/>
          <w:numId w:val="1"/>
        </w:numPr>
        <w:rPr>
          <w:rFonts w:hint="eastAsia"/>
        </w:rPr>
      </w:pPr>
      <w:r>
        <w:t xml:space="preserve">Vastulause p-s 4 võib </w:t>
      </w:r>
      <w:r w:rsidR="00320E2C">
        <w:t>tuua esile kõik põhjused</w:t>
      </w:r>
      <w:r>
        <w:t>, mi</w:t>
      </w:r>
      <w:r w:rsidR="00320E2C">
        <w:t>lle tõttu oli maskikandmine vastunäidustatud – s</w:t>
      </w:r>
      <w:r>
        <w:t>h tervisealaseid põhjus</w:t>
      </w:r>
      <w:r w:rsidR="00320E2C">
        <w:t>ed</w:t>
      </w:r>
      <w:r>
        <w:t xml:space="preserve"> (on teada, et </w:t>
      </w:r>
      <w:r w:rsidR="00320E2C">
        <w:t xml:space="preserve">ei </w:t>
      </w:r>
      <w:r>
        <w:t xml:space="preserve">perearstid </w:t>
      </w:r>
      <w:r w:rsidR="00320E2C">
        <w:t xml:space="preserve">ega ka eriarstid pea kunagi </w:t>
      </w:r>
      <w:r>
        <w:t xml:space="preserve">vastavaid tõendeid ei väljasta, seega tõendeid ei saa lisada, kuid menetluses on võimalik lisada tõendina näiteks väljavõtteid </w:t>
      </w:r>
      <w:proofErr w:type="spellStart"/>
      <w:r>
        <w:t>digiloos</w:t>
      </w:r>
      <w:proofErr w:type="spellEnd"/>
      <w:r>
        <w:t xml:space="preserve"> sisalduvatest andmetest, mis tõendavad maskikandmise võimatust)</w:t>
      </w:r>
      <w:r w:rsidR="00320E2C">
        <w:t>, maailmavaatelised põhjused vms.</w:t>
      </w:r>
    </w:p>
    <w:p w14:paraId="5E8C3509" w14:textId="77777777" w:rsidR="00AE27BD" w:rsidRDefault="00AE27BD">
      <w:pPr>
        <w:rPr>
          <w:rFonts w:hint="eastAsia"/>
        </w:rPr>
      </w:pPr>
    </w:p>
    <w:p w14:paraId="43DB868A" w14:textId="4BCDF7CA" w:rsidR="00AE27BD" w:rsidRPr="00320E2C" w:rsidRDefault="00E87C96">
      <w:pPr>
        <w:rPr>
          <w:rFonts w:hint="eastAsia"/>
          <w:b/>
        </w:rPr>
      </w:pPr>
      <w:r w:rsidRPr="00320E2C">
        <w:rPr>
          <w:b/>
        </w:rPr>
        <w:t>II Otsuse vaidlustamine maakohtus</w:t>
      </w:r>
    </w:p>
    <w:p w14:paraId="37A7CE16" w14:textId="77777777" w:rsidR="00320E2C" w:rsidRDefault="00320E2C">
      <w:pPr>
        <w:rPr>
          <w:rFonts w:hint="eastAsia"/>
        </w:rPr>
      </w:pPr>
    </w:p>
    <w:p w14:paraId="57C54807" w14:textId="20E10360" w:rsidR="00AE27BD" w:rsidRDefault="00E87C96">
      <w:pPr>
        <w:numPr>
          <w:ilvl w:val="0"/>
          <w:numId w:val="2"/>
        </w:numPr>
        <w:rPr>
          <w:rFonts w:hint="eastAsia"/>
        </w:rPr>
      </w:pPr>
      <w:r>
        <w:rPr>
          <w:u w:val="single"/>
        </w:rPr>
        <w:t>Oluline on kinni pidada tähtaegadest.</w:t>
      </w:r>
      <w:r>
        <w:t xml:space="preserve"> </w:t>
      </w:r>
      <w:r w:rsidR="00320E2C">
        <w:t>Väärteomenetluse o</w:t>
      </w:r>
      <w:r>
        <w:t>tsuses on märgitud otsuse vaidlustamise tähtpäev</w:t>
      </w:r>
      <w:r w:rsidR="00320E2C">
        <w:t xml:space="preserve"> – see on viimane </w:t>
      </w:r>
      <w:r>
        <w:t>kuupäev</w:t>
      </w:r>
      <w:r w:rsidR="00320E2C">
        <w:t xml:space="preserve">, mil saab </w:t>
      </w:r>
      <w:r>
        <w:t xml:space="preserve">esitada </w:t>
      </w:r>
      <w:r w:rsidR="00320E2C">
        <w:t xml:space="preserve">kaebuse </w:t>
      </w:r>
      <w:r>
        <w:t xml:space="preserve">elukohajärgsele </w:t>
      </w:r>
      <w:r w:rsidR="00320E2C">
        <w:t>m</w:t>
      </w:r>
      <w:r>
        <w:t>aakohtule. Selle tähtaja ületamisel asja menetlusse ei võeta</w:t>
      </w:r>
      <w:r w:rsidR="00320E2C">
        <w:t>.</w:t>
      </w:r>
    </w:p>
    <w:p w14:paraId="466923F6" w14:textId="4A715891" w:rsidR="00AE27BD" w:rsidRDefault="00E87C96">
      <w:pPr>
        <w:numPr>
          <w:ilvl w:val="0"/>
          <w:numId w:val="2"/>
        </w:numPr>
        <w:rPr>
          <w:rFonts w:hint="eastAsia"/>
        </w:rPr>
      </w:pPr>
      <w:r>
        <w:t>Kaebuse näidis on lisatud</w:t>
      </w:r>
      <w:r w:rsidR="00320E2C">
        <w:t xml:space="preserve"> käesolevale</w:t>
      </w:r>
      <w:r>
        <w:t xml:space="preserve"> juhendile. Esmalt tuleb üle kontrollida ja täiendada kollaselt märgitud väljad. Vastava sisendi saab kohtuvälise menetleja otsusest. Lisaks on kaebust võimalik täiendada nii isiklike (tervislik seisund) kui maailmavaateliste põhjustega, </w:t>
      </w:r>
      <w:r w:rsidR="00320E2C">
        <w:t>mille tõttu oli</w:t>
      </w:r>
      <w:r>
        <w:t xml:space="preserve"> maskikandmine konkreetse kaebaja puhul </w:t>
      </w:r>
      <w:r w:rsidR="00320E2C">
        <w:t>vastunäidustatud</w:t>
      </w:r>
      <w:r>
        <w:t xml:space="preserve"> (vastav täiendus lisada näiteks kaebuse p-de 15 ja 16 vahele).</w:t>
      </w:r>
    </w:p>
    <w:p w14:paraId="4A957207" w14:textId="77777777" w:rsidR="00AE27BD" w:rsidRDefault="00E87C96">
      <w:pPr>
        <w:numPr>
          <w:ilvl w:val="0"/>
          <w:numId w:val="2"/>
        </w:numPr>
        <w:rPr>
          <w:rFonts w:hint="eastAsia"/>
        </w:rPr>
      </w:pPr>
      <w:r>
        <w:lastRenderedPageBreak/>
        <w:t>Kohtu andmed tuleb  täiendada vastavalt elukohajärgse maakohtu andmetega (</w:t>
      </w:r>
      <w:hyperlink r:id="rId8">
        <w:r>
          <w:rPr>
            <w:rStyle w:val="Internetilink"/>
            <w:u w:val="none"/>
          </w:rPr>
          <w:t>www.kohus.ee</w:t>
        </w:r>
      </w:hyperlink>
      <w:r>
        <w:t xml:space="preserve"> )</w:t>
      </w:r>
    </w:p>
    <w:p w14:paraId="62445254" w14:textId="2CC34C69" w:rsidR="00AE27BD" w:rsidRDefault="00E87C96">
      <w:pPr>
        <w:numPr>
          <w:ilvl w:val="0"/>
          <w:numId w:val="2"/>
        </w:numPr>
        <w:rPr>
          <w:rFonts w:hint="eastAsia"/>
        </w:rPr>
      </w:pPr>
      <w:r>
        <w:t>Kaebuses on võimalik esitada samad vastuväited, mis protokollile varasemalt on esitatud.</w:t>
      </w:r>
      <w:r w:rsidR="00320E2C">
        <w:t xml:space="preserve"> Selgitusi võib täiendavalt lisada.</w:t>
      </w:r>
    </w:p>
    <w:p w14:paraId="72174DE8" w14:textId="3F5B38EA" w:rsidR="00AE27BD" w:rsidRDefault="00E87C96">
      <w:pPr>
        <w:numPr>
          <w:ilvl w:val="0"/>
          <w:numId w:val="2"/>
        </w:numPr>
        <w:rPr>
          <w:rFonts w:hint="eastAsia"/>
        </w:rPr>
      </w:pPr>
      <w:r>
        <w:t>Kaebuse esitamiseks tuleb saata digi</w:t>
      </w:r>
      <w:r w:rsidR="00320E2C">
        <w:t xml:space="preserve">taalselt </w:t>
      </w:r>
      <w:r>
        <w:t xml:space="preserve">allkirjastatud kaebus koos vaidlustatud otsusega kohtu menetlusposti aadressile, mis on leitav siit: </w:t>
      </w:r>
      <w:hyperlink r:id="rId9">
        <w:r>
          <w:rPr>
            <w:rStyle w:val="Internetilink"/>
            <w:u w:val="none"/>
          </w:rPr>
          <w:t>https://www.kohus.ee/eesti-kohtud/kohtususteem/maakohtud</w:t>
        </w:r>
      </w:hyperlink>
      <w:r>
        <w:t xml:space="preserve"> </w:t>
      </w:r>
    </w:p>
    <w:p w14:paraId="0314C4FB" w14:textId="77777777" w:rsidR="00AE27BD" w:rsidRDefault="00AE27BD">
      <w:pPr>
        <w:rPr>
          <w:rFonts w:hint="eastAsia"/>
        </w:rPr>
      </w:pPr>
    </w:p>
    <w:p w14:paraId="4ED582DC" w14:textId="3B99E355" w:rsidR="00AE27BD" w:rsidRPr="00320E2C" w:rsidRDefault="00E87C96">
      <w:pPr>
        <w:rPr>
          <w:rFonts w:hint="eastAsia"/>
          <w:b/>
        </w:rPr>
      </w:pPr>
      <w:r w:rsidRPr="00320E2C">
        <w:rPr>
          <w:b/>
        </w:rPr>
        <w:t>III Menetlus maakohtus</w:t>
      </w:r>
    </w:p>
    <w:p w14:paraId="19B2F658" w14:textId="77777777" w:rsidR="00320E2C" w:rsidRDefault="00320E2C">
      <w:pPr>
        <w:rPr>
          <w:rFonts w:hint="eastAsia"/>
        </w:rPr>
      </w:pPr>
    </w:p>
    <w:p w14:paraId="700A1C2C" w14:textId="77777777" w:rsidR="00AE27BD" w:rsidRDefault="00E87C96">
      <w:pPr>
        <w:numPr>
          <w:ilvl w:val="0"/>
          <w:numId w:val="3"/>
        </w:numPr>
        <w:rPr>
          <w:rFonts w:hint="eastAsia"/>
        </w:rPr>
      </w:pPr>
      <w:r>
        <w:t>Pärast kaebuse esitamist teavitab kohus teid asja menetlusse võtmisest.</w:t>
      </w:r>
    </w:p>
    <w:p w14:paraId="4EE7A431" w14:textId="77777777" w:rsidR="00AE27BD" w:rsidRDefault="00E87C96">
      <w:pPr>
        <w:numPr>
          <w:ilvl w:val="0"/>
          <w:numId w:val="3"/>
        </w:numPr>
        <w:rPr>
          <w:rFonts w:hint="eastAsia"/>
        </w:rPr>
      </w:pPr>
      <w:r>
        <w:t>Kohus teavitab teid ka asja kohtuliku arutamise ajast (saadab kutse).</w:t>
      </w:r>
    </w:p>
    <w:p w14:paraId="2792CE55" w14:textId="7174FD96" w:rsidR="00AE27BD" w:rsidRDefault="00E87C96">
      <w:pPr>
        <w:numPr>
          <w:ilvl w:val="0"/>
          <w:numId w:val="3"/>
        </w:numPr>
        <w:rPr>
          <w:rFonts w:hint="eastAsia"/>
        </w:rPr>
      </w:pPr>
      <w:r>
        <w:t xml:space="preserve">Istungi toimumise ajal tuleb minna maakohtusse ja tugineda juba protokolli vastuväidetes ja </w:t>
      </w:r>
      <w:r w:rsidR="00320E2C">
        <w:t>kaebuses</w:t>
      </w:r>
      <w:r>
        <w:t xml:space="preserve"> esitatud seisukohtadele. Üldine juhis kohtus käitumiseks on siin: </w:t>
      </w:r>
      <w:hyperlink r:id="rId10">
        <w:r>
          <w:rPr>
            <w:rStyle w:val="Internetilink"/>
            <w:u w:val="none"/>
          </w:rPr>
          <w:t>https://www.kohus.ee/kohtusse-poordujale/meelespea-kohtumajja-saabudes</w:t>
        </w:r>
      </w:hyperlink>
      <w:r>
        <w:t xml:space="preserve"> </w:t>
      </w:r>
    </w:p>
    <w:p w14:paraId="46026740" w14:textId="77777777" w:rsidR="00AE27BD" w:rsidRDefault="00AE27BD">
      <w:pPr>
        <w:rPr>
          <w:rFonts w:hint="eastAsia"/>
        </w:rPr>
      </w:pPr>
    </w:p>
    <w:p w14:paraId="653FC9F4" w14:textId="01A145DF" w:rsidR="00AE27BD" w:rsidRDefault="00E87C96">
      <w:pPr>
        <w:rPr>
          <w:rFonts w:hint="eastAsia"/>
        </w:rPr>
      </w:pPr>
      <w:r>
        <w:t>Lisad:</w:t>
      </w:r>
    </w:p>
    <w:p w14:paraId="23021C75" w14:textId="77777777" w:rsidR="00320E2C" w:rsidRDefault="00320E2C">
      <w:pPr>
        <w:rPr>
          <w:rFonts w:hint="eastAsia"/>
        </w:rPr>
      </w:pPr>
    </w:p>
    <w:p w14:paraId="5B338F53" w14:textId="77777777" w:rsidR="00AE27BD" w:rsidRDefault="00E87C96">
      <w:pPr>
        <w:rPr>
          <w:rFonts w:hint="eastAsia"/>
        </w:rPr>
      </w:pPr>
      <w:r>
        <w:t>1. Vastulause näidis</w:t>
      </w:r>
    </w:p>
    <w:p w14:paraId="640E3C64" w14:textId="77777777" w:rsidR="00AE27BD" w:rsidRDefault="00E87C96">
      <w:pPr>
        <w:rPr>
          <w:rFonts w:hint="eastAsia"/>
        </w:rPr>
      </w:pPr>
      <w:r>
        <w:t>2. Kaebuse näidis</w:t>
      </w:r>
    </w:p>
    <w:sectPr w:rsidR="00AE27BD" w:rsidSect="00222FE3">
      <w:headerReference w:type="default" r:id="rId11"/>
      <w:footerReference w:type="default" r:id="rId12"/>
      <w:pgSz w:w="11906" w:h="16838"/>
      <w:pgMar w:top="1701" w:right="1134" w:bottom="1418" w:left="1134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CFFA" w14:textId="77777777" w:rsidR="00F7427B" w:rsidRDefault="00F7427B">
      <w:pPr>
        <w:rPr>
          <w:rFonts w:hint="eastAsia"/>
        </w:rPr>
      </w:pPr>
      <w:r>
        <w:separator/>
      </w:r>
    </w:p>
  </w:endnote>
  <w:endnote w:type="continuationSeparator" w:id="0">
    <w:p w14:paraId="615D1630" w14:textId="77777777" w:rsidR="00F7427B" w:rsidRDefault="00F742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6044" w14:textId="77777777" w:rsidR="00AE27BD" w:rsidRDefault="00E87C9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F6DA" w14:textId="77777777" w:rsidR="00F7427B" w:rsidRDefault="00F7427B">
      <w:pPr>
        <w:rPr>
          <w:rFonts w:hint="eastAsia"/>
        </w:rPr>
      </w:pPr>
      <w:r>
        <w:separator/>
      </w:r>
    </w:p>
  </w:footnote>
  <w:footnote w:type="continuationSeparator" w:id="0">
    <w:p w14:paraId="6B46382F" w14:textId="77777777" w:rsidR="00F7427B" w:rsidRDefault="00F742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17E4" w14:textId="6190832E" w:rsidR="00542341" w:rsidRDefault="00542341" w:rsidP="00542341">
    <w:pPr>
      <w:jc w:val="center"/>
      <w:rPr>
        <w:rFonts w:hint="eastAsia"/>
      </w:rPr>
    </w:pPr>
    <w:r>
      <w:t>SAPTK õiguskeskus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3148"/>
    <w:multiLevelType w:val="multilevel"/>
    <w:tmpl w:val="B9544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230F0E"/>
    <w:multiLevelType w:val="multilevel"/>
    <w:tmpl w:val="5E7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351AC6"/>
    <w:multiLevelType w:val="multilevel"/>
    <w:tmpl w:val="CA8C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FE1243B"/>
    <w:multiLevelType w:val="multilevel"/>
    <w:tmpl w:val="54E6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BD"/>
    <w:rsid w:val="001C150C"/>
    <w:rsid w:val="00222FE3"/>
    <w:rsid w:val="00320E2C"/>
    <w:rsid w:val="00542341"/>
    <w:rsid w:val="00AE27BD"/>
    <w:rsid w:val="00E87C96"/>
    <w:rsid w:val="00F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598645"/>
  <w15:docId w15:val="{EDC20993-4133-6243-92AC-709391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Pisjajalus">
    <w:name w:val="Päis ja jalus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Pisjajalus"/>
  </w:style>
  <w:style w:type="paragraph" w:styleId="Header">
    <w:name w:val="header"/>
    <w:basedOn w:val="Normal"/>
    <w:link w:val="HeaderChar"/>
    <w:uiPriority w:val="99"/>
    <w:unhideWhenUsed/>
    <w:rsid w:val="005423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2341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20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us.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21220210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ohus.ee/kohtusse-poordujale/meelespea-kohtumajja-saabu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hus.ee/eesti-kohtud/kohtususteem/maakohtu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Henno Nurmsalu</dc:creator>
  <dc:description/>
  <cp:lastModifiedBy>Varro Vooglaid</cp:lastModifiedBy>
  <cp:revision>10</cp:revision>
  <dcterms:created xsi:type="dcterms:W3CDTF">2022-02-08T12:52:00Z</dcterms:created>
  <dcterms:modified xsi:type="dcterms:W3CDTF">2022-03-14T13:25:00Z</dcterms:modified>
  <dc:language>et-EE</dc:language>
</cp:coreProperties>
</file>